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92473" w:rsidRPr="00157F62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157F62">
        <w:rPr>
          <w:rFonts w:ascii="Times New Roman" w:hAnsi="Times New Roman"/>
          <w:b/>
          <w:kern w:val="3"/>
          <w:sz w:val="24"/>
          <w:lang w:eastAsia="ru-RU"/>
        </w:rPr>
        <w:t xml:space="preserve">Б1.В.ДВ.3.2 «ПРОГРАММА </w:t>
      </w:r>
      <w:smartTag w:uri="urn:schemas-microsoft-com:office:smarttags" w:element="metricconverter">
        <w:smartTagPr>
          <w:attr w:name="ProductID" w:val="1C"/>
        </w:smartTagPr>
        <w:r w:rsidRPr="00157F62">
          <w:rPr>
            <w:rFonts w:ascii="Times New Roman" w:hAnsi="Times New Roman"/>
            <w:b/>
            <w:kern w:val="3"/>
            <w:sz w:val="24"/>
            <w:lang w:eastAsia="ru-RU"/>
          </w:rPr>
          <w:t>1C</w:t>
        </w:r>
      </w:smartTag>
      <w:r w:rsidRPr="00157F62">
        <w:rPr>
          <w:rFonts w:ascii="Times New Roman" w:hAnsi="Times New Roman"/>
          <w:b/>
          <w:kern w:val="3"/>
          <w:sz w:val="24"/>
          <w:lang w:eastAsia="ru-RU"/>
        </w:rPr>
        <w:t xml:space="preserve"> ЕЕ МОДИФИКАЦИИ»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157F62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 xml:space="preserve">к.э.н., доцент, Е.А. </w:t>
      </w:r>
      <w:proofErr w:type="spellStart"/>
      <w:r w:rsidRPr="00157F62">
        <w:rPr>
          <w:rFonts w:ascii="Times New Roman" w:hAnsi="Times New Roman"/>
          <w:sz w:val="24"/>
          <w:szCs w:val="24"/>
        </w:rPr>
        <w:t>Баркова</w:t>
      </w:r>
      <w:proofErr w:type="spellEnd"/>
    </w:p>
    <w:p w:rsidR="00D92473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92473" w:rsidRPr="00985886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BA1D93">
        <w:rPr>
          <w:rFonts w:ascii="Times New Roman" w:hAnsi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D92473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/>
          <w:kern w:val="3"/>
          <w:sz w:val="24"/>
          <w:lang w:eastAsia="ru-RU"/>
        </w:rPr>
        <w:t xml:space="preserve"> </w:t>
      </w:r>
    </w:p>
    <w:p w:rsidR="00D92473" w:rsidRPr="00157F62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 xml:space="preserve">- ОПК-7 </w:t>
      </w:r>
      <w:r w:rsidRPr="00157F62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D92473" w:rsidRPr="00157F62" w:rsidRDefault="00D92473" w:rsidP="00157F6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>Тема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 xml:space="preserve">1. </w:t>
      </w:r>
      <w:r w:rsidRPr="00157F62">
        <w:rPr>
          <w:rFonts w:ascii="Times New Roman" w:hAnsi="Times New Roman"/>
          <w:sz w:val="24"/>
          <w:szCs w:val="24"/>
        </w:rPr>
        <w:t>Программный комплекс «1С: Предприятие».</w:t>
      </w:r>
    </w:p>
    <w:p w:rsidR="00D92473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Программный комплекс «1С: Предприятие». Технологическая платформа. Прикладные решения. Архитектура «1С: Предприятие». Типовые конфигурации «1С: Предприятие», их особенности и возможности. Режимы работы «1С: Бухгалтерия предприятия». Объекты конфигурации.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2. Общие сведения о системе «1С: Бухгалтерия предприятия». План счетов и организация аналитического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Возможности конфигурации «1С: Бухгалтерия предприятия».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Создание информационной базы. Режимы запуска программы. Основные понятия конфигурации: константы, справочники, документы, журналы, отчеты, бухгалтерские счета, операции и проводки, бухгалтерские итоги.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План счетов. Особенности организации аналитического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 xml:space="preserve">Тема 3. Подготовка к ведению учета. 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Начальное заполнение информационной базы: ввод сведений о предприятии, о бухгалтерской и налоговой учетной политике предприятия. Настройка аналитического учета. Ввод справочной информации. Ввод начальных остатков по счетам.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4. Способы регистрации хозяйственных операций. Стандартные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Основные способы регистрации хозяйственных операций.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Ввод документов. Общие реквизиты документов. Ввод документов «на основании». Проведение документов. Печать документов. Поиск ранее введенных документов. Средства мониторинга целевых показателей. Стандартные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5. Учет денежных средств.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Касса. Поступление наличных денежных средств. Расход наличных денежных средств. Расчеты с подотчетными лицами. Кассовая книга.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Банк. Банковские счета организаций. Поступление безналичных денежных средств. Списание безналичных денежных средств. Выписка банка.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lastRenderedPageBreak/>
        <w:t>Тема 6. Покупки и продажи.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Контрагенты. Договоры, заключенные с контрагентами. Счета расчетов с контрагентами, поставляемые по умолчанию.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Оформление покупки: типовая последовательность ввода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Оптовая торговля. Продажа по предварительной оплате: типовая последовательность ввода документов. Розничная торговля: виды торговых точек, поступление товаров в торговую точку, регистрация розничных продаж. Комиссионная торговля: прием товаров на комиссию, расчеты с комитентом, передача товаров на комиссию, расчеты с комиссионером.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7. Учет товарно-материальных ценностей.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Аналитический учет товарно-материальных ценностей. Операции с ТМЦ. Справочник «Номенклатура», счета бухгалтерского и налогового учета, подставляемые по умолчанию. Цены номенклатуры. Поступление ТМЦ по предварительной оплате. Поступление ТМЦ через подотчетных лиц. Отпуск материалов со склада. Анализ информации о наличии и движении материалов.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8. Учет основных средств.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Аналитический учет основных средств. Поступление оборудования от учредителей. Поступление оборудования от поставщиков. Строительство и монтаж. Постановка ОС на учет. Начисление амортизации. Выбытие ОС. Инвентаризация ОС.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9. Учет производственных операций.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Настройка учета производственных операций: настройка распределения расходов, настройка учета выпуска продукции. Особенности учета готовой продукции по плановым ценам. Спецификации.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Регистрация выпуска готовой продукции. Аналитический учет незавершенного производства. Инвентаризация незавершенного 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Реализация готовой продукции.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10. Учет НДС.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Регистрация счета фактуры поставщика. Оформление счета фактуры покупателю. Оформление счета фактуры на аванс. Ведение книги продаж. Ведение книги покупок.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11. Учет персонала и заработной платы.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Учетная политика по персоналу. Справочник «Физические лица» и справочник «Сотрудники». Прием на работу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7F62">
        <w:rPr>
          <w:rFonts w:ascii="Times New Roman" w:hAnsi="Times New Roman"/>
          <w:sz w:val="24"/>
          <w:szCs w:val="24"/>
        </w:rPr>
        <w:t>Начисление заработной платы. Выплата заработной платы. Начисление налогов (взносов) с ФОТ. Отчетность по НДФЛ. Персонифицированная отчетность.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12. Завершение периода.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Закрытие налогового периода по НДС, регламентные операции по учету НДС. Документ завершения периода. Начисление амортизации. Расчет себестоимости готовой продукции. Определение финансового результата. Расчет налога на прибыль.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Экспресс-проверка ведения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13. Регламентирован</w:t>
      </w:r>
      <w:r w:rsidRPr="00157F62">
        <w:rPr>
          <w:rFonts w:ascii="Times New Roman" w:hAnsi="Times New Roman"/>
          <w:sz w:val="24"/>
          <w:szCs w:val="24"/>
        </w:rPr>
        <w:softHyphen/>
        <w:t>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Подготовка регламентированного отчета. Проверка соотношений показателей отчетов. Печать регламентированного отчета. Хранение регламентированных отчетов. Выгрузка регламентированного отчета в электронном виде.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D92473" w:rsidRPr="00194EDB" w:rsidRDefault="00D92473" w:rsidP="00194ED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D92473" w:rsidRPr="00194EDB" w:rsidRDefault="00D92473" w:rsidP="00194ED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 xml:space="preserve">Б1.В.ДВ.3.2. «Программа 1С и ее модификации»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D92473" w:rsidRPr="00194EDB" w:rsidRDefault="00D92473" w:rsidP="00194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0"/>
        <w:gridCol w:w="2840"/>
      </w:tblGrid>
      <w:tr w:rsidR="00D92473" w:rsidRPr="007E1C1F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Программный комплекс «1С: Предприятие»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92473" w:rsidRPr="007E1C1F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Общие сведения о системе «1С: Бухгалтерия предприятия». План счетов и организация аналитического учета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 xml:space="preserve">Подготовка к ведению учета. 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Способы регистрации хозяйственных операций. Стандартные отчеты.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денежных средств.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Покупки и продажи.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товарно-материальных ценностей.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основных средств.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производственных операций.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НДС.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персонала и заработной платы.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297490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Завершение периода.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Опрос, практическая работа на компьютере, контрольная работа</w:t>
            </w:r>
          </w:p>
        </w:tc>
      </w:tr>
      <w:tr w:rsidR="00D92473" w:rsidRPr="007E1C1F" w:rsidTr="00297490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Регламентирован</w:t>
            </w:r>
            <w:r w:rsidRPr="007E1C1F">
              <w:rPr>
                <w:rFonts w:ascii="Times New Roman" w:hAnsi="Times New Roman"/>
                <w:sz w:val="24"/>
                <w:szCs w:val="24"/>
              </w:rPr>
              <w:softHyphen/>
              <w:t>ные отчеты.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</w:tbl>
    <w:p w:rsidR="00D92473" w:rsidRPr="00194EDB" w:rsidRDefault="00D92473" w:rsidP="00194EDB">
      <w:pPr>
        <w:keepNext/>
        <w:spacing w:before="240" w:after="6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1"/>
      <w:r>
        <w:rPr>
          <w:rFonts w:ascii="Times New Roman" w:hAnsi="Times New Roman"/>
          <w:b/>
          <w:sz w:val="24"/>
          <w:szCs w:val="24"/>
        </w:rPr>
        <w:t>зачета.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92473" w:rsidRPr="00985886" w:rsidRDefault="00D92473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Cs/>
          <w:color w:val="000000"/>
          <w:sz w:val="24"/>
          <w:szCs w:val="24"/>
        </w:rPr>
        <w:t>Информационные системы в экономике: учебное пособие./ Е. В. Варфоломеева [и др.]; под ред. Д.В. Чистова. – М.: ИНФРА – М, 2010. – 232 с.</w:t>
      </w: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>Ясенев</w:t>
      </w:r>
      <w:proofErr w:type="spellEnd"/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В.Н.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 xml:space="preserve"> Информационные системы и технологии в экономике. Учебное пособие – М.: </w:t>
      </w:r>
      <w:proofErr w:type="spellStart"/>
      <w:r w:rsidRPr="007E1C1F">
        <w:rPr>
          <w:rFonts w:ascii="Times New Roman" w:hAnsi="Times New Roman"/>
          <w:iCs/>
          <w:color w:val="000000"/>
          <w:sz w:val="24"/>
          <w:szCs w:val="24"/>
        </w:rPr>
        <w:t>Юнити</w:t>
      </w:r>
      <w:proofErr w:type="spellEnd"/>
      <w:r w:rsidRPr="007E1C1F">
        <w:rPr>
          <w:rFonts w:ascii="Times New Roman" w:hAnsi="Times New Roman"/>
          <w:iCs/>
          <w:color w:val="000000"/>
          <w:sz w:val="24"/>
          <w:szCs w:val="24"/>
        </w:rPr>
        <w:t xml:space="preserve">-Дана, 2012. – 561с. 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Университетская библиотека онлайн -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University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Library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Online</w:t>
      </w:r>
    </w:p>
    <w:p w:rsidR="00D92473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 xml:space="preserve">Харитонов С.А. 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Настольная книга по оплате труда и ее расчету в программе «1С: Бухгалтерия предприятия». Задачи, решения, результаты. – М.: «1С–</w:t>
      </w:r>
      <w:proofErr w:type="spellStart"/>
      <w:r w:rsidRPr="007E1C1F">
        <w:rPr>
          <w:rFonts w:ascii="Times New Roman" w:hAnsi="Times New Roman"/>
          <w:iCs/>
          <w:color w:val="000000"/>
          <w:sz w:val="24"/>
          <w:szCs w:val="24"/>
        </w:rPr>
        <w:t>Паблишинг</w:t>
      </w:r>
      <w:proofErr w:type="spellEnd"/>
      <w:r w:rsidRPr="007E1C1F">
        <w:rPr>
          <w:rFonts w:ascii="Times New Roman" w:hAnsi="Times New Roman"/>
          <w:iCs/>
          <w:color w:val="000000"/>
          <w:sz w:val="24"/>
          <w:szCs w:val="24"/>
        </w:rPr>
        <w:t>», 2012. – 261с.</w:t>
      </w: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 xml:space="preserve">Чистов Д.В., Харитонов С.А. 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Хозяйственные операции в «1С: Бухгалтерия предприятия». Задачи, решения, результаты. – М.: «1С–</w:t>
      </w:r>
      <w:proofErr w:type="spellStart"/>
      <w:r w:rsidRPr="007E1C1F">
        <w:rPr>
          <w:rFonts w:ascii="Times New Roman" w:hAnsi="Times New Roman"/>
          <w:iCs/>
          <w:color w:val="000000"/>
          <w:sz w:val="24"/>
          <w:szCs w:val="24"/>
        </w:rPr>
        <w:t>Паблишинг</w:t>
      </w:r>
      <w:proofErr w:type="spellEnd"/>
      <w:r w:rsidRPr="007E1C1F">
        <w:rPr>
          <w:rFonts w:ascii="Times New Roman" w:hAnsi="Times New Roman"/>
          <w:iCs/>
          <w:color w:val="000000"/>
          <w:sz w:val="24"/>
          <w:szCs w:val="24"/>
        </w:rPr>
        <w:t>», 2014. – 365с.</w:t>
      </w:r>
    </w:p>
    <w:sectPr w:rsidR="00D92473" w:rsidRPr="007E1C1F" w:rsidSect="00C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F07"/>
    <w:multiLevelType w:val="hybridMultilevel"/>
    <w:tmpl w:val="33F4923C"/>
    <w:lvl w:ilvl="0" w:tplc="AF3E4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0554B7"/>
    <w:multiLevelType w:val="hybridMultilevel"/>
    <w:tmpl w:val="4F26B4EC"/>
    <w:lvl w:ilvl="0" w:tplc="F00E0D8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F75386"/>
    <w:multiLevelType w:val="multilevel"/>
    <w:tmpl w:val="25A48FD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886"/>
    <w:rsid w:val="000524DA"/>
    <w:rsid w:val="000C4182"/>
    <w:rsid w:val="00157F62"/>
    <w:rsid w:val="00194EDB"/>
    <w:rsid w:val="00297490"/>
    <w:rsid w:val="002A2143"/>
    <w:rsid w:val="00321753"/>
    <w:rsid w:val="00583C93"/>
    <w:rsid w:val="006D341D"/>
    <w:rsid w:val="006D6C3C"/>
    <w:rsid w:val="007B1CFC"/>
    <w:rsid w:val="007E12CF"/>
    <w:rsid w:val="007E1C1F"/>
    <w:rsid w:val="009410BB"/>
    <w:rsid w:val="00985886"/>
    <w:rsid w:val="009F1E58"/>
    <w:rsid w:val="00AA693D"/>
    <w:rsid w:val="00AC6398"/>
    <w:rsid w:val="00BA1D93"/>
    <w:rsid w:val="00BA4EE7"/>
    <w:rsid w:val="00CE7770"/>
    <w:rsid w:val="00D92473"/>
    <w:rsid w:val="00E46962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1E6253-EDD6-4B91-887D-9C8DB61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1045</Words>
  <Characters>5959</Characters>
  <Application>Microsoft Office Word</Application>
  <DocSecurity>0</DocSecurity>
  <Lines>49</Lines>
  <Paragraphs>13</Paragraphs>
  <ScaleCrop>false</ScaleCrop>
  <Company>РАНХ и ГС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Коровина Елена Вадимовна</dc:creator>
  <cp:keywords/>
  <dc:description/>
  <cp:lastModifiedBy>Анищик Марина Николаевна</cp:lastModifiedBy>
  <cp:revision>4</cp:revision>
  <cp:lastPrinted>2017-06-22T11:12:00Z</cp:lastPrinted>
  <dcterms:created xsi:type="dcterms:W3CDTF">2017-06-22T11:03:00Z</dcterms:created>
  <dcterms:modified xsi:type="dcterms:W3CDTF">2017-06-23T11:26:00Z</dcterms:modified>
</cp:coreProperties>
</file>